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5E5E" w14:textId="77777777" w:rsidR="0073202A" w:rsidRDefault="0073202A" w:rsidP="0073202A">
      <w:pPr>
        <w:jc w:val="center"/>
        <w:rPr>
          <w:b/>
          <w:bCs/>
        </w:rPr>
      </w:pPr>
      <w:r w:rsidRPr="009870AD">
        <w:rPr>
          <w:b/>
          <w:bCs/>
        </w:rPr>
        <w:t>Быстрые подсказки, когда компании нужен забалансовый учет</w:t>
      </w:r>
    </w:p>
    <w:p w14:paraId="45D00AC0" w14:textId="77777777" w:rsidR="0073202A" w:rsidRPr="009870AD" w:rsidRDefault="0073202A" w:rsidP="0073202A">
      <w:pPr>
        <w:rPr>
          <w:b/>
          <w:bCs/>
        </w:rPr>
      </w:pPr>
    </w:p>
    <w:p w14:paraId="59392FFB" w14:textId="77777777" w:rsidR="0073202A" w:rsidRPr="009870AD" w:rsidRDefault="0073202A" w:rsidP="0073202A">
      <w:r w:rsidRPr="009870AD">
        <w:t>ИННА ВИСКОВА — ведущий эксперт журнала «Главбух». Окончила ТГТУ по специальности «экономика и управление на предприятии». До «Главбуха» 14 лет работала бухгалтером, в том числе главным. В свободное время любит путешествовать, читать и смотреть фильмы.</w:t>
      </w:r>
    </w:p>
    <w:p w14:paraId="01F28DEC" w14:textId="76D67B9E" w:rsidR="0073202A" w:rsidRPr="009870AD" w:rsidRDefault="0073202A" w:rsidP="0073202A">
      <w:pPr>
        <w:rPr>
          <w:b/>
          <w:bCs/>
        </w:rPr>
      </w:pPr>
      <w:r w:rsidRPr="00F00DFE">
        <w:rPr>
          <w:b/>
          <w:noProof/>
        </w:rPr>
        <w:drawing>
          <wp:inline distT="0" distB="0" distL="0" distR="0" wp14:anchorId="2E11CD5D" wp14:editId="487620D6">
            <wp:extent cx="335915" cy="335915"/>
            <wp:effectExtent l="0" t="0" r="6985" b="6985"/>
            <wp:docPr id="205929728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Компания приобрела оборудование, но по договору право собственности перейдет к ней после оплаты. Имущество учли на забалансовом счете. Поставщик передал накладную и счет-фактуру, компания приняла НДС к вычету. При осмотре нашла в оборудовании недостатки, оплачивать не стала, сейчас возвращает его. Как оформить такой возврат?</w:t>
      </w:r>
    </w:p>
    <w:p w14:paraId="513B5320" w14:textId="77777777" w:rsidR="0073202A" w:rsidRPr="009870AD" w:rsidRDefault="0073202A" w:rsidP="0073202A">
      <w:r w:rsidRPr="009870AD">
        <w:t>Если передумали оплачивать и решили вернуть некачественный товар, составьте акт по форме № ТОРГ-2 и претензию либо рекламацию. Право собственности на товар к компании не перешло, поэтому возврат товара не считают обратной реализацией. Поставщик оформляет корректировочный счет-фактуру. На основании этого документа организация восстанавливает НДС, а продавец заявляет вычет (</w:t>
      </w:r>
      <w:hyperlink r:id="rId5" w:anchor="XA00MDU2N8" w:tgtFrame="_blank" w:history="1">
        <w:r w:rsidRPr="009870AD">
          <w:rPr>
            <w:rStyle w:val="ac"/>
          </w:rPr>
          <w:t>п. 3</w:t>
        </w:r>
      </w:hyperlink>
      <w:r w:rsidRPr="009870AD">
        <w:t> ст. 168, </w:t>
      </w:r>
      <w:hyperlink r:id="rId6" w:anchor="XA00RS62P8" w:tgtFrame="_blank" w:history="1">
        <w:r w:rsidRPr="009870AD">
          <w:rPr>
            <w:rStyle w:val="ac"/>
          </w:rPr>
          <w:t>п. 13</w:t>
        </w:r>
      </w:hyperlink>
      <w:r w:rsidRPr="009870AD">
        <w:t> ст. 171, </w:t>
      </w:r>
      <w:hyperlink r:id="rId7" w:anchor="XA00ME62NQ" w:tgtFrame="_blank" w:history="1">
        <w:r w:rsidRPr="009870AD">
          <w:rPr>
            <w:rStyle w:val="ac"/>
          </w:rPr>
          <w:t>п. 10</w:t>
        </w:r>
      </w:hyperlink>
      <w:r w:rsidRPr="009870AD">
        <w:t> ст. 172 НК).</w:t>
      </w:r>
    </w:p>
    <w:p w14:paraId="6BF0DBE6" w14:textId="1D511D43" w:rsidR="0073202A" w:rsidRPr="009870AD" w:rsidRDefault="0073202A" w:rsidP="0073202A">
      <w:pPr>
        <w:rPr>
          <w:b/>
          <w:bCs/>
        </w:rPr>
      </w:pPr>
      <w:r w:rsidRPr="00F00DFE">
        <w:rPr>
          <w:b/>
          <w:noProof/>
        </w:rPr>
        <w:drawing>
          <wp:inline distT="0" distB="0" distL="0" distR="0" wp14:anchorId="7C00239A" wp14:editId="12713D80">
            <wp:extent cx="335915" cy="335915"/>
            <wp:effectExtent l="0" t="0" r="6985" b="6985"/>
            <wp:docPr id="105030818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Нужно ли отражать на забалансовом счете ОС, если объект списали по акту, оприходовали как металлолом по весу в килограммах, но фактически не утилизировали? Сейчас объект находится на территории компании.</w:t>
      </w:r>
    </w:p>
    <w:p w14:paraId="1230FF44" w14:textId="77777777" w:rsidR="0073202A" w:rsidRPr="009870AD" w:rsidRDefault="0073202A" w:rsidP="0073202A">
      <w:r w:rsidRPr="009870AD">
        <w:t>Не нужно. Если организация не планирует использовать основное средство по назначению, а хочет сдать на металлолом, объект обоснованно числится в учете на счете 10 «Материалы» по фактической себестоимости (п. 9 ФСБУ 5/2019). Отражать его за балансом не надо, чтобы не </w:t>
      </w:r>
      <w:proofErr w:type="spellStart"/>
      <w:r w:rsidRPr="009870AD">
        <w:t>задвоить</w:t>
      </w:r>
      <w:proofErr w:type="spellEnd"/>
      <w:r w:rsidRPr="009870AD">
        <w:t xml:space="preserve"> учет.</w:t>
      </w:r>
    </w:p>
    <w:p w14:paraId="7CBD9F27" w14:textId="5271FB1D" w:rsidR="0073202A" w:rsidRPr="009870AD" w:rsidRDefault="0073202A" w:rsidP="0073202A">
      <w:pPr>
        <w:rPr>
          <w:b/>
          <w:bCs/>
        </w:rPr>
      </w:pPr>
      <w:r w:rsidRPr="00F00DFE">
        <w:rPr>
          <w:b/>
          <w:noProof/>
        </w:rPr>
        <w:drawing>
          <wp:inline distT="0" distB="0" distL="0" distR="0" wp14:anchorId="2C62BB57" wp14:editId="48E69F16">
            <wp:extent cx="335915" cy="335915"/>
            <wp:effectExtent l="0" t="0" r="6985" b="6985"/>
            <wp:docPr id="185689524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Можно ли добавлять в план счетов новые забалансовые счета?</w:t>
      </w:r>
    </w:p>
    <w:p w14:paraId="118F9800" w14:textId="77777777" w:rsidR="0073202A" w:rsidRPr="009870AD" w:rsidRDefault="0073202A" w:rsidP="0073202A">
      <w:r w:rsidRPr="009870AD">
        <w:t>Да, если в вашей учетной программе не хватает стандартных счетов. Например, по ФСБУ 14/2022 нужно организовать учет НМА во временном пользовании (п. 11 ФСБУ 14/2022). Сделать это можно только с помощью дополнительного счета забалансового учета. Дополнительные счета закрепите в учетной политике (п. 4 ПБУ 1/2008).</w:t>
      </w:r>
    </w:p>
    <w:p w14:paraId="4CC70327" w14:textId="7B657F14" w:rsidR="0073202A" w:rsidRPr="009870AD" w:rsidRDefault="0073202A" w:rsidP="0073202A">
      <w:pPr>
        <w:rPr>
          <w:b/>
          <w:bCs/>
        </w:rPr>
      </w:pPr>
      <w:r w:rsidRPr="00F00DFE">
        <w:rPr>
          <w:b/>
          <w:noProof/>
        </w:rPr>
        <w:drawing>
          <wp:inline distT="0" distB="0" distL="0" distR="0" wp14:anchorId="62B9BDC3" wp14:editId="777C6CC3">
            <wp:extent cx="335915" cy="335915"/>
            <wp:effectExtent l="0" t="0" r="6985" b="6985"/>
            <wp:docPr id="107959017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На каком забалансовом счете отражать имущество, которое оформили в качестве залога по банковскому кредиту?</w:t>
      </w:r>
    </w:p>
    <w:p w14:paraId="09D0D021" w14:textId="77777777" w:rsidR="0073202A" w:rsidRPr="009870AD" w:rsidRDefault="0073202A" w:rsidP="0073202A">
      <w:r w:rsidRPr="009870AD">
        <w:t>Имущество отразите по дебету счета 009 «Обеспечения обязательств и платежей выданные». Залог не считают выбытием активов или расходом компании (п. 2, 3 ПБУ 10/99). Право собственности остается у залогодателя (</w:t>
      </w:r>
      <w:hyperlink r:id="rId11" w:anchor="XA00M7S2N8" w:tgtFrame="_blank" w:history="1">
        <w:r w:rsidRPr="009870AD">
          <w:rPr>
            <w:rStyle w:val="ac"/>
          </w:rPr>
          <w:t>ст. 334 ГК</w:t>
        </w:r>
      </w:hyperlink>
      <w:r w:rsidRPr="009870AD">
        <w:t xml:space="preserve">). Продолжайте начислять </w:t>
      </w:r>
      <w:r w:rsidRPr="009870AD">
        <w:lastRenderedPageBreak/>
        <w:t>амортизацию. Передача в залог не основание, чтобы приостановить расчет амортизации (п. 30 ФСБУ 6/2020).</w:t>
      </w:r>
    </w:p>
    <w:p w14:paraId="2ACD371D" w14:textId="151710CD" w:rsidR="0073202A" w:rsidRPr="009870AD" w:rsidRDefault="0073202A" w:rsidP="0073202A">
      <w:pPr>
        <w:rPr>
          <w:b/>
          <w:bCs/>
        </w:rPr>
      </w:pPr>
      <w:r w:rsidRPr="00F00DFE">
        <w:rPr>
          <w:b/>
          <w:noProof/>
        </w:rPr>
        <w:drawing>
          <wp:inline distT="0" distB="0" distL="0" distR="0" wp14:anchorId="0AB1D4C9" wp14:editId="2F561958">
            <wp:extent cx="335915" cy="335915"/>
            <wp:effectExtent l="0" t="0" r="6985" b="6985"/>
            <wp:docPr id="158678328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Компания приобрела кассовый аппарат, но срок аренды старой кассы еще не истек. Прежнюю ККТ организация отражает на забалансовом счете 001 «Арендованные ОС», поскольку вправе вести учет упрощенно. Эту кассу компания сняла с регистрации в налоговой. Списывать ли ее с забалансового счета?</w:t>
      </w:r>
    </w:p>
    <w:p w14:paraId="1DC8250F" w14:textId="77777777" w:rsidR="0073202A" w:rsidRPr="009870AD" w:rsidRDefault="0073202A" w:rsidP="0073202A">
      <w:r w:rsidRPr="009870AD">
        <w:t>Списывать не надо. Если аппарат технически исправен, то покупка собственной ККТ не основание, чтобы списывать арендованную кассу с забалансового счета. Это потребуется сделать, когда закончится срок аренды и компания вернет кассу собственнику (</w:t>
      </w:r>
      <w:hyperlink r:id="rId13" w:tgtFrame="_blank" w:history="1">
        <w:r w:rsidRPr="009870AD">
          <w:rPr>
            <w:rStyle w:val="ac"/>
          </w:rPr>
          <w:t>Инструкция, утв. приказом Минфина от 31.10.2000 № 94н</w:t>
        </w:r>
      </w:hyperlink>
      <w:r w:rsidRPr="009870AD">
        <w:t>).</w:t>
      </w:r>
    </w:p>
    <w:p w14:paraId="22427BE7" w14:textId="793A0A54" w:rsidR="0073202A" w:rsidRPr="009870AD" w:rsidRDefault="0073202A" w:rsidP="0073202A">
      <w:pPr>
        <w:rPr>
          <w:b/>
          <w:bCs/>
        </w:rPr>
      </w:pPr>
      <w:r w:rsidRPr="00F00DFE">
        <w:rPr>
          <w:b/>
          <w:noProof/>
        </w:rPr>
        <w:drawing>
          <wp:inline distT="0" distB="0" distL="0" distR="0" wp14:anchorId="633CC88F" wp14:editId="29994D5F">
            <wp:extent cx="335915" cy="335915"/>
            <wp:effectExtent l="0" t="0" r="6985" b="6985"/>
            <wp:docPr id="77000391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Директор использует в служебных целях мобильный телефон. Недавно он переоформил на компанию свою сим-карту. Как оприходовать номер в бухучете?</w:t>
      </w:r>
    </w:p>
    <w:p w14:paraId="6B982362" w14:textId="77777777" w:rsidR="0073202A" w:rsidRPr="009870AD" w:rsidRDefault="0073202A" w:rsidP="0073202A">
      <w:r w:rsidRPr="009870AD">
        <w:t>Компания приобретает услуги по подключению к сети сотовой связи, а не сим-карту. В бухучете стоимость услуг включите в расходы по обычным видам деятельности (п. 5 ПБУ 10/99). В налоговом учете спишите оплату услуг связи в прочие расходы (</w:t>
      </w:r>
      <w:hyperlink r:id="rId15" w:anchor="XA00MGI2OC" w:tgtFrame="_blank" w:history="1">
        <w:r w:rsidRPr="009870AD">
          <w:rPr>
            <w:rStyle w:val="ac"/>
          </w:rPr>
          <w:t>подп. 25 п. 1 ст. 264 НК</w:t>
        </w:r>
      </w:hyperlink>
      <w:r w:rsidRPr="009870AD">
        <w:t>). Вместе с тем можете контролировать использование номера телефона в служебных целях. Для этого сим-карту учтите по условной цене, например 1 руб., на забалансовом счете. Отразите это условие в учетной политике компании (п. 5 ПБУ 1/2008).</w:t>
      </w:r>
    </w:p>
    <w:p w14:paraId="469257F8" w14:textId="481ACDC0" w:rsidR="0073202A" w:rsidRPr="009870AD" w:rsidRDefault="0073202A" w:rsidP="0073202A">
      <w:pPr>
        <w:rPr>
          <w:b/>
          <w:bCs/>
        </w:rPr>
      </w:pPr>
      <w:r w:rsidRPr="00F00DFE">
        <w:rPr>
          <w:b/>
          <w:noProof/>
        </w:rPr>
        <w:drawing>
          <wp:inline distT="0" distB="0" distL="0" distR="0" wp14:anchorId="2DE6EFDD" wp14:editId="06B0CFA6">
            <wp:extent cx="335915" cy="335915"/>
            <wp:effectExtent l="0" t="0" r="6985" b="6985"/>
            <wp:docPr id="186705105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Партнер вернул долг, который списали за баланс. Исправлять учет?</w:t>
      </w:r>
    </w:p>
    <w:p w14:paraId="77459830" w14:textId="77777777" w:rsidR="0073202A" w:rsidRPr="009870AD" w:rsidRDefault="0073202A" w:rsidP="0073202A">
      <w:r w:rsidRPr="009870AD">
        <w:t>В налоговом учете сумму долга признайте во внереализационных доходах. В бухучете отразите прочий доход в сумме полученной от должника оплаты и спишите ее с забалансового счета 007 «Списанная в убыток задолженность неплатежеспособных дебиторов» (п. 2, 7, 16 ПБУ 9/99).</w:t>
      </w:r>
    </w:p>
    <w:p w14:paraId="43EC5423" w14:textId="24E40D68" w:rsidR="0073202A" w:rsidRPr="009870AD" w:rsidRDefault="0073202A" w:rsidP="0073202A">
      <w:pPr>
        <w:rPr>
          <w:b/>
          <w:bCs/>
        </w:rPr>
      </w:pPr>
      <w:r w:rsidRPr="00F00DFE">
        <w:rPr>
          <w:b/>
          <w:noProof/>
        </w:rPr>
        <w:drawing>
          <wp:inline distT="0" distB="0" distL="0" distR="0" wp14:anchorId="0F8CC9EE" wp14:editId="48D16A33">
            <wp:extent cx="335915" cy="335915"/>
            <wp:effectExtent l="0" t="0" r="6985" b="6985"/>
            <wp:docPr id="13160960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9870AD">
        <w:rPr>
          <w:b/>
          <w:bCs/>
        </w:rPr>
        <w:t> Нужно ли отражать сумму гарантийного удержания на забалансовом счете?</w:t>
      </w:r>
    </w:p>
    <w:p w14:paraId="5C648F5D" w14:textId="77777777" w:rsidR="0073202A" w:rsidRPr="009870AD" w:rsidRDefault="0073202A" w:rsidP="0073202A">
      <w:r w:rsidRPr="009870AD">
        <w:t>Да. Гарантийное удержание можно считать обеспечительным платежом (</w:t>
      </w:r>
      <w:hyperlink r:id="rId18" w:anchor="ZAP23GA3FB" w:tgtFrame="_blank" w:history="1">
        <w:r w:rsidRPr="009870AD">
          <w:rPr>
            <w:rStyle w:val="ac"/>
          </w:rPr>
          <w:t>п. 1 ст. 381.1 ГК</w:t>
        </w:r>
      </w:hyperlink>
      <w:r w:rsidRPr="009870AD">
        <w:t>). Расчеты по обеспечению обычно ведут на счете 76 «Расчеты с разными дебиторами и кредиторами». Кроме того, в бухгалтерском учете сторона, которая выдала обеспечение, отражает его на забалансовом счете 009 «Обеспечения обязательств и платежей выданные», чтобы контролировать свои обязательства перед третьими лицами. А затем, по мере погашения задолженности, эти суммы обеспечений начинают постепенно списывать.</w:t>
      </w:r>
    </w:p>
    <w:p w14:paraId="18DCDC06" w14:textId="77777777" w:rsidR="0073202A" w:rsidRPr="00D03CBE" w:rsidRDefault="0073202A" w:rsidP="0073202A">
      <w:pPr>
        <w:rPr>
          <w:b/>
          <w:bCs/>
          <w:lang w:val="en-US"/>
        </w:rPr>
      </w:pPr>
    </w:p>
    <w:p w14:paraId="61BE983E" w14:textId="4A77FDFD" w:rsidR="00173540" w:rsidRPr="0073202A" w:rsidRDefault="0073202A" w:rsidP="0073202A">
      <w:pPr>
        <w:jc w:val="right"/>
      </w:pPr>
      <w:r>
        <w:t>Журнал «Главбух» №23, 2025</w:t>
      </w:r>
    </w:p>
    <w:sectPr w:rsidR="00173540" w:rsidRPr="00732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40"/>
    <w:rsid w:val="00087B70"/>
    <w:rsid w:val="001063E0"/>
    <w:rsid w:val="00173540"/>
    <w:rsid w:val="001A4AC3"/>
    <w:rsid w:val="004173D8"/>
    <w:rsid w:val="005F22A4"/>
    <w:rsid w:val="0073202A"/>
    <w:rsid w:val="008341C0"/>
    <w:rsid w:val="00A43B77"/>
    <w:rsid w:val="00A95C79"/>
    <w:rsid w:val="00AE3A72"/>
    <w:rsid w:val="00BD5436"/>
    <w:rsid w:val="00BF3DB2"/>
    <w:rsid w:val="00DD6A5F"/>
    <w:rsid w:val="00EA1B07"/>
    <w:rsid w:val="00EF3844"/>
    <w:rsid w:val="00F92283"/>
    <w:rsid w:val="00FA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F721"/>
  <w15:chartTrackingRefBased/>
  <w15:docId w15:val="{6FA3FDC6-99C2-4F73-8321-5431E159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40"/>
    <w:rPr>
      <w:rFonts w:ascii="Calibri" w:eastAsia="Calibri" w:hAnsi="Calibri" w:cs="Times New Roman"/>
      <w14:ligatures w14:val="none"/>
    </w:rPr>
  </w:style>
  <w:style w:type="paragraph" w:styleId="1">
    <w:name w:val="heading 1"/>
    <w:basedOn w:val="a"/>
    <w:next w:val="a"/>
    <w:link w:val="10"/>
    <w:uiPriority w:val="9"/>
    <w:qFormat/>
    <w:rsid w:val="00173540"/>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0"/>
    <w:uiPriority w:val="9"/>
    <w:semiHidden/>
    <w:unhideWhenUsed/>
    <w:qFormat/>
    <w:rsid w:val="0017354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173540"/>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0"/>
    <w:uiPriority w:val="9"/>
    <w:semiHidden/>
    <w:unhideWhenUsed/>
    <w:qFormat/>
    <w:rsid w:val="0017354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17354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173540"/>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173540"/>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173540"/>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173540"/>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35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35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35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35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35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35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3540"/>
    <w:rPr>
      <w:rFonts w:eastAsiaTheme="majorEastAsia" w:cstheme="majorBidi"/>
      <w:color w:val="595959" w:themeColor="text1" w:themeTint="A6"/>
    </w:rPr>
  </w:style>
  <w:style w:type="character" w:customStyle="1" w:styleId="80">
    <w:name w:val="Заголовок 8 Знак"/>
    <w:basedOn w:val="a0"/>
    <w:link w:val="8"/>
    <w:uiPriority w:val="9"/>
    <w:semiHidden/>
    <w:rsid w:val="001735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3540"/>
    <w:rPr>
      <w:rFonts w:eastAsiaTheme="majorEastAsia" w:cstheme="majorBidi"/>
      <w:color w:val="272727" w:themeColor="text1" w:themeTint="D8"/>
    </w:rPr>
  </w:style>
  <w:style w:type="paragraph" w:styleId="a3">
    <w:name w:val="Title"/>
    <w:basedOn w:val="a"/>
    <w:next w:val="a"/>
    <w:link w:val="a4"/>
    <w:uiPriority w:val="10"/>
    <w:qFormat/>
    <w:rsid w:val="001735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73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540"/>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a6">
    <w:name w:val="Подзаголовок Знак"/>
    <w:basedOn w:val="a0"/>
    <w:link w:val="a5"/>
    <w:uiPriority w:val="11"/>
    <w:rsid w:val="001735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3540"/>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22">
    <w:name w:val="Цитата 2 Знак"/>
    <w:basedOn w:val="a0"/>
    <w:link w:val="21"/>
    <w:uiPriority w:val="29"/>
    <w:rsid w:val="00173540"/>
    <w:rPr>
      <w:i/>
      <w:iCs/>
      <w:color w:val="404040" w:themeColor="text1" w:themeTint="BF"/>
    </w:rPr>
  </w:style>
  <w:style w:type="paragraph" w:styleId="a7">
    <w:name w:val="List Paragraph"/>
    <w:basedOn w:val="a"/>
    <w:uiPriority w:val="34"/>
    <w:qFormat/>
    <w:rsid w:val="00173540"/>
    <w:pPr>
      <w:ind w:left="720"/>
      <w:contextualSpacing/>
    </w:pPr>
    <w:rPr>
      <w:rFonts w:asciiTheme="minorHAnsi" w:eastAsiaTheme="minorHAnsi" w:hAnsiTheme="minorHAnsi" w:cstheme="minorBidi"/>
      <w14:ligatures w14:val="standardContextual"/>
    </w:rPr>
  </w:style>
  <w:style w:type="character" w:styleId="a8">
    <w:name w:val="Intense Emphasis"/>
    <w:basedOn w:val="a0"/>
    <w:uiPriority w:val="21"/>
    <w:qFormat/>
    <w:rsid w:val="00173540"/>
    <w:rPr>
      <w:i/>
      <w:iCs/>
      <w:color w:val="2F5496" w:themeColor="accent1" w:themeShade="BF"/>
    </w:rPr>
  </w:style>
  <w:style w:type="paragraph" w:styleId="a9">
    <w:name w:val="Intense Quote"/>
    <w:basedOn w:val="a"/>
    <w:next w:val="a"/>
    <w:link w:val="aa"/>
    <w:uiPriority w:val="30"/>
    <w:qFormat/>
    <w:rsid w:val="0017354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aa">
    <w:name w:val="Выделенная цитата Знак"/>
    <w:basedOn w:val="a0"/>
    <w:link w:val="a9"/>
    <w:uiPriority w:val="30"/>
    <w:rsid w:val="00173540"/>
    <w:rPr>
      <w:i/>
      <w:iCs/>
      <w:color w:val="2F5496" w:themeColor="accent1" w:themeShade="BF"/>
    </w:rPr>
  </w:style>
  <w:style w:type="character" w:styleId="ab">
    <w:name w:val="Intense Reference"/>
    <w:basedOn w:val="a0"/>
    <w:uiPriority w:val="32"/>
    <w:qFormat/>
    <w:rsid w:val="00173540"/>
    <w:rPr>
      <w:b/>
      <w:bCs/>
      <w:smallCaps/>
      <w:color w:val="2F5496" w:themeColor="accent1" w:themeShade="BF"/>
      <w:spacing w:val="5"/>
    </w:rPr>
  </w:style>
  <w:style w:type="character" w:styleId="ac">
    <w:name w:val="Hyperlink"/>
    <w:uiPriority w:val="99"/>
    <w:unhideWhenUsed/>
    <w:rsid w:val="00173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glavbukh.ru/npd-doc?npmid=99&amp;npid=901774800" TargetMode="External"/><Relationship Id="rId18" Type="http://schemas.openxmlformats.org/officeDocument/2006/relationships/hyperlink" Target="https://e.glavbukh.ru/npd-doc?npmid=99&amp;npid=9027690&amp;anchor=ZAP23GA3FB" TargetMode="External"/><Relationship Id="rId3" Type="http://schemas.openxmlformats.org/officeDocument/2006/relationships/webSettings" Target="webSettings.xml"/><Relationship Id="rId7" Type="http://schemas.openxmlformats.org/officeDocument/2006/relationships/hyperlink" Target="https://e.glavbukh.ru/npd-doc?npmid=99&amp;npid=901765862&amp;anchor=XA00ME62NQ" TargetMode="Externa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glavbukh.ru/npd-doc?npmid=99&amp;npid=901765862&amp;anchor=XA00RS62P8" TargetMode="External"/><Relationship Id="rId11" Type="http://schemas.openxmlformats.org/officeDocument/2006/relationships/hyperlink" Target="https://e.glavbukh.ru/npd-doc?npmid=99&amp;npid=9027690&amp;anchor=XA00M7S2N8" TargetMode="External"/><Relationship Id="rId5" Type="http://schemas.openxmlformats.org/officeDocument/2006/relationships/hyperlink" Target="https://e.glavbukh.ru/npd-doc?npmid=99&amp;npid=901765862&amp;anchor=XA00MDU2N8" TargetMode="External"/><Relationship Id="rId15" Type="http://schemas.openxmlformats.org/officeDocument/2006/relationships/hyperlink" Target="https://e.glavbukh.ru/npd-doc?npmid=99&amp;npid=901765862&amp;anchor=XA00MGI2OC"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Хомякова</dc:creator>
  <cp:keywords/>
  <dc:description/>
  <cp:lastModifiedBy>Екатерина Хомякова</cp:lastModifiedBy>
  <cp:revision>2</cp:revision>
  <dcterms:created xsi:type="dcterms:W3CDTF">2025-12-16T07:39:00Z</dcterms:created>
  <dcterms:modified xsi:type="dcterms:W3CDTF">2025-12-16T07:39:00Z</dcterms:modified>
</cp:coreProperties>
</file>